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195" w:rsidRPr="00004195" w:rsidRDefault="00004195" w:rsidP="00004195">
      <w:pPr>
        <w:shd w:val="clear" w:color="auto" w:fill="FFFFFF"/>
        <w:spacing w:before="100" w:beforeAutospacing="1" w:after="100" w:afterAutospacing="1" w:line="240" w:lineRule="auto"/>
        <w:textAlignment w:val="top"/>
        <w:outlineLvl w:val="1"/>
        <w:rPr>
          <w:rFonts w:ascii="Helvetica" w:eastAsia="Times New Roman" w:hAnsi="Helvetica" w:cs="Helvetica"/>
          <w:b/>
          <w:bCs/>
          <w:color w:val="0066CC"/>
          <w:sz w:val="45"/>
          <w:szCs w:val="45"/>
          <w:lang w:eastAsia="it-IT"/>
        </w:rPr>
      </w:pPr>
      <w:r w:rsidRPr="00004195">
        <w:rPr>
          <w:rFonts w:ascii="Helvetica" w:eastAsia="Times New Roman" w:hAnsi="Helvetica" w:cs="Helvetica"/>
          <w:b/>
          <w:bCs/>
          <w:color w:val="0066CC"/>
          <w:sz w:val="45"/>
          <w:szCs w:val="45"/>
          <w:lang w:eastAsia="it-IT"/>
        </w:rPr>
        <w:t>Segnalazioni reazioni avverse</w:t>
      </w:r>
    </w:p>
    <w:p w:rsidR="00004195" w:rsidRPr="00004195" w:rsidRDefault="00004195" w:rsidP="00004195">
      <w:pPr>
        <w:shd w:val="clear" w:color="auto" w:fill="FFFFFF"/>
        <w:spacing w:after="150" w:line="240" w:lineRule="auto"/>
        <w:rPr>
          <w:rFonts w:ascii="Helvetica" w:eastAsia="Times New Roman" w:hAnsi="Helvetica" w:cs="Helvetica"/>
          <w:color w:val="333333"/>
          <w:sz w:val="21"/>
          <w:szCs w:val="21"/>
          <w:lang w:eastAsia="it-IT"/>
        </w:rPr>
      </w:pPr>
      <w:r w:rsidRPr="00004195">
        <w:rPr>
          <w:rFonts w:ascii="Helvetica" w:eastAsia="Times New Roman" w:hAnsi="Helvetica" w:cs="Helvetica"/>
          <w:color w:val="333333"/>
          <w:sz w:val="21"/>
          <w:szCs w:val="21"/>
          <w:lang w:eastAsia="it-IT"/>
        </w:rPr>
        <w:t xml:space="preserve">Le segnalazioni di sospette reazioni avverse (ADR, </w:t>
      </w:r>
      <w:proofErr w:type="spellStart"/>
      <w:r w:rsidRPr="00004195">
        <w:rPr>
          <w:rFonts w:ascii="Helvetica" w:eastAsia="Times New Roman" w:hAnsi="Helvetica" w:cs="Helvetica"/>
          <w:color w:val="333333"/>
          <w:sz w:val="21"/>
          <w:szCs w:val="21"/>
          <w:lang w:eastAsia="it-IT"/>
        </w:rPr>
        <w:t>Adverse</w:t>
      </w:r>
      <w:proofErr w:type="spellEnd"/>
      <w:r w:rsidRPr="00004195">
        <w:rPr>
          <w:rFonts w:ascii="Helvetica" w:eastAsia="Times New Roman" w:hAnsi="Helvetica" w:cs="Helvetica"/>
          <w:color w:val="333333"/>
          <w:sz w:val="21"/>
          <w:szCs w:val="21"/>
          <w:lang w:eastAsia="it-IT"/>
        </w:rPr>
        <w:t xml:space="preserve"> </w:t>
      </w:r>
      <w:proofErr w:type="spellStart"/>
      <w:r w:rsidRPr="00004195">
        <w:rPr>
          <w:rFonts w:ascii="Helvetica" w:eastAsia="Times New Roman" w:hAnsi="Helvetica" w:cs="Helvetica"/>
          <w:color w:val="333333"/>
          <w:sz w:val="21"/>
          <w:szCs w:val="21"/>
          <w:lang w:eastAsia="it-IT"/>
        </w:rPr>
        <w:t>Drug</w:t>
      </w:r>
      <w:proofErr w:type="spellEnd"/>
      <w:r w:rsidRPr="00004195">
        <w:rPr>
          <w:rFonts w:ascii="Helvetica" w:eastAsia="Times New Roman" w:hAnsi="Helvetica" w:cs="Helvetica"/>
          <w:color w:val="333333"/>
          <w:sz w:val="21"/>
          <w:szCs w:val="21"/>
          <w:lang w:eastAsia="it-IT"/>
        </w:rPr>
        <w:t xml:space="preserve"> </w:t>
      </w:r>
      <w:proofErr w:type="spellStart"/>
      <w:r w:rsidRPr="00004195">
        <w:rPr>
          <w:rFonts w:ascii="Helvetica" w:eastAsia="Times New Roman" w:hAnsi="Helvetica" w:cs="Helvetica"/>
          <w:color w:val="333333"/>
          <w:sz w:val="21"/>
          <w:szCs w:val="21"/>
          <w:lang w:eastAsia="it-IT"/>
        </w:rPr>
        <w:t>Reaction</w:t>
      </w:r>
      <w:proofErr w:type="spellEnd"/>
      <w:r w:rsidRPr="00004195">
        <w:rPr>
          <w:rFonts w:ascii="Helvetica" w:eastAsia="Times New Roman" w:hAnsi="Helvetica" w:cs="Helvetica"/>
          <w:color w:val="333333"/>
          <w:sz w:val="21"/>
          <w:szCs w:val="21"/>
          <w:lang w:eastAsia="it-IT"/>
        </w:rPr>
        <w:t xml:space="preserve"> in inglese) costituiscono un’importante fonte di informazioni per le attività di farmacovigilanza, in quanto consentono di rilevare potenziali segnali di allarme relativi all’uso dei medicinali così da renderli più sicuri, a beneficio di tutti i pazienti.</w:t>
      </w:r>
    </w:p>
    <w:p w:rsidR="00004195" w:rsidRPr="00004195" w:rsidRDefault="00004195" w:rsidP="00004195">
      <w:pPr>
        <w:shd w:val="clear" w:color="auto" w:fill="FFFFFF"/>
        <w:spacing w:after="150" w:line="240" w:lineRule="auto"/>
        <w:rPr>
          <w:rFonts w:ascii="Helvetica" w:eastAsia="Times New Roman" w:hAnsi="Helvetica" w:cs="Helvetica"/>
          <w:color w:val="333333"/>
          <w:sz w:val="21"/>
          <w:szCs w:val="21"/>
          <w:lang w:eastAsia="it-IT"/>
        </w:rPr>
      </w:pPr>
      <w:r w:rsidRPr="00004195">
        <w:rPr>
          <w:rFonts w:ascii="Helvetica" w:eastAsia="Times New Roman" w:hAnsi="Helvetica" w:cs="Helvetica"/>
          <w:color w:val="333333"/>
          <w:sz w:val="21"/>
          <w:szCs w:val="21"/>
          <w:lang w:eastAsia="it-IT"/>
        </w:rPr>
        <w:t>La normativa europea sulla farmacovigilanza richiede a tutti gli operatori sanitari e ai cittadini di segnalare qualsiasi sospetta </w:t>
      </w:r>
      <w:r w:rsidRPr="00004195">
        <w:rPr>
          <w:rFonts w:ascii="Helvetica" w:eastAsia="Times New Roman" w:hAnsi="Helvetica" w:cs="Helvetica"/>
          <w:i/>
          <w:iCs/>
          <w:color w:val="333333"/>
          <w:sz w:val="21"/>
          <w:szCs w:val="21"/>
          <w:lang w:eastAsia="it-IT"/>
        </w:rPr>
        <w:t>reazione avversa</w:t>
      </w:r>
      <w:r w:rsidRPr="00004195">
        <w:rPr>
          <w:rFonts w:ascii="Helvetica" w:eastAsia="Times New Roman" w:hAnsi="Helvetica" w:cs="Helvetica"/>
          <w:color w:val="333333"/>
          <w:sz w:val="21"/>
          <w:szCs w:val="21"/>
          <w:lang w:eastAsia="it-IT"/>
        </w:rPr>
        <w:t> (grave e non grave, nota e non nota).</w:t>
      </w:r>
    </w:p>
    <w:p w:rsidR="00004195" w:rsidRPr="00004195" w:rsidRDefault="00004195" w:rsidP="00004195">
      <w:pPr>
        <w:shd w:val="clear" w:color="auto" w:fill="FFFFFF"/>
        <w:spacing w:after="150" w:line="240" w:lineRule="auto"/>
        <w:rPr>
          <w:rFonts w:ascii="Helvetica" w:eastAsia="Times New Roman" w:hAnsi="Helvetica" w:cs="Helvetica"/>
          <w:color w:val="333333"/>
          <w:sz w:val="21"/>
          <w:szCs w:val="21"/>
          <w:lang w:eastAsia="it-IT"/>
        </w:rPr>
      </w:pPr>
      <w:r w:rsidRPr="00004195">
        <w:rPr>
          <w:rFonts w:ascii="Helvetica" w:eastAsia="Times New Roman" w:hAnsi="Helvetica" w:cs="Helvetica"/>
          <w:color w:val="333333"/>
          <w:sz w:val="21"/>
          <w:szCs w:val="21"/>
          <w:lang w:eastAsia="it-IT"/>
        </w:rPr>
        <w:t>Il Decreto del Ministero della Salute 30 aprile 2015 ha ribadito l’obbligo di segnalare tempestivamente le sospette reazioni avverse da farmaci e da vaccini e ha definito dei limiti di tempo entro cui gli operatori sanitari sono tenuti ad effettuare la segnalazione alla Rete Nazionale di Farmacovigilanza (RNF) dell’AIFA.</w:t>
      </w:r>
    </w:p>
    <w:p w:rsidR="00004195" w:rsidRPr="00004195" w:rsidRDefault="00004195" w:rsidP="00004195">
      <w:pPr>
        <w:shd w:val="clear" w:color="auto" w:fill="FFFFFF"/>
        <w:spacing w:after="150" w:line="240" w:lineRule="auto"/>
        <w:rPr>
          <w:rFonts w:ascii="Helvetica" w:eastAsia="Times New Roman" w:hAnsi="Helvetica" w:cs="Helvetica"/>
          <w:color w:val="333333"/>
          <w:sz w:val="21"/>
          <w:szCs w:val="21"/>
          <w:lang w:eastAsia="it-IT"/>
        </w:rPr>
      </w:pPr>
      <w:r w:rsidRPr="00004195">
        <w:rPr>
          <w:rFonts w:ascii="Helvetica" w:eastAsia="Times New Roman" w:hAnsi="Helvetica" w:cs="Helvetica"/>
          <w:color w:val="333333"/>
          <w:sz w:val="21"/>
          <w:szCs w:val="21"/>
          <w:lang w:eastAsia="it-IT"/>
        </w:rPr>
        <w:t>In particolare:</w:t>
      </w:r>
    </w:p>
    <w:p w:rsidR="00004195" w:rsidRPr="00004195" w:rsidRDefault="00004195" w:rsidP="00004195">
      <w:pPr>
        <w:numPr>
          <w:ilvl w:val="0"/>
          <w:numId w:val="1"/>
        </w:numPr>
        <w:shd w:val="clear" w:color="auto" w:fill="FFFFFF"/>
        <w:spacing w:before="100" w:beforeAutospacing="1" w:after="100" w:afterAutospacing="1" w:line="240" w:lineRule="auto"/>
        <w:ind w:left="900"/>
        <w:rPr>
          <w:rFonts w:ascii="Helvetica" w:eastAsia="Times New Roman" w:hAnsi="Helvetica" w:cs="Helvetica"/>
          <w:color w:val="333333"/>
          <w:sz w:val="21"/>
          <w:szCs w:val="21"/>
          <w:lang w:eastAsia="it-IT"/>
        </w:rPr>
      </w:pPr>
      <w:r w:rsidRPr="00004195">
        <w:rPr>
          <w:rFonts w:ascii="Helvetica" w:eastAsia="Times New Roman" w:hAnsi="Helvetica" w:cs="Helvetica"/>
          <w:color w:val="333333"/>
          <w:sz w:val="21"/>
          <w:szCs w:val="21"/>
          <w:lang w:eastAsia="it-IT"/>
        </w:rPr>
        <w:t>Le sospette reazioni avverse da medicinali vanno segnalate entro 2 giorni da quando il medico o l’operatore sanitario ne viene a conoscenza.</w:t>
      </w:r>
    </w:p>
    <w:p w:rsidR="00004195" w:rsidRPr="00004195" w:rsidRDefault="00004195" w:rsidP="00004195">
      <w:pPr>
        <w:numPr>
          <w:ilvl w:val="0"/>
          <w:numId w:val="1"/>
        </w:numPr>
        <w:shd w:val="clear" w:color="auto" w:fill="FFFFFF"/>
        <w:spacing w:before="100" w:beforeAutospacing="1" w:after="100" w:afterAutospacing="1" w:line="240" w:lineRule="auto"/>
        <w:ind w:left="900"/>
        <w:rPr>
          <w:rFonts w:ascii="Helvetica" w:eastAsia="Times New Roman" w:hAnsi="Helvetica" w:cs="Helvetica"/>
          <w:color w:val="333333"/>
          <w:sz w:val="21"/>
          <w:szCs w:val="21"/>
          <w:lang w:eastAsia="it-IT"/>
        </w:rPr>
      </w:pPr>
      <w:r w:rsidRPr="00004195">
        <w:rPr>
          <w:rFonts w:ascii="Helvetica" w:eastAsia="Times New Roman" w:hAnsi="Helvetica" w:cs="Helvetica"/>
          <w:color w:val="333333"/>
          <w:sz w:val="21"/>
          <w:szCs w:val="21"/>
          <w:lang w:eastAsia="it-IT"/>
        </w:rPr>
        <w:t>L’obbligo di segnalazione scende a 36 ore in caso di ADR da medicinali di origine biologica (inclusi i vaccini).</w:t>
      </w:r>
    </w:p>
    <w:p w:rsidR="00004195" w:rsidRPr="00004195" w:rsidRDefault="00004195" w:rsidP="00004195">
      <w:pPr>
        <w:shd w:val="clear" w:color="auto" w:fill="FFFFFF"/>
        <w:spacing w:after="150" w:line="240" w:lineRule="auto"/>
        <w:rPr>
          <w:rFonts w:ascii="Helvetica" w:eastAsia="Times New Roman" w:hAnsi="Helvetica" w:cs="Helvetica"/>
          <w:color w:val="333333"/>
          <w:sz w:val="21"/>
          <w:szCs w:val="21"/>
          <w:lang w:eastAsia="it-IT"/>
        </w:rPr>
      </w:pPr>
      <w:r w:rsidRPr="00004195">
        <w:rPr>
          <w:rFonts w:ascii="Helvetica" w:eastAsia="Times New Roman" w:hAnsi="Helvetica" w:cs="Helvetica"/>
          <w:b/>
          <w:bCs/>
          <w:color w:val="333333"/>
          <w:sz w:val="21"/>
          <w:szCs w:val="21"/>
          <w:lang w:eastAsia="it-IT"/>
        </w:rPr>
        <w:t>Come segnalare:</w:t>
      </w:r>
    </w:p>
    <w:p w:rsidR="00004195" w:rsidRPr="00004195" w:rsidRDefault="00004195" w:rsidP="00004195">
      <w:pPr>
        <w:shd w:val="clear" w:color="auto" w:fill="FFFFFF"/>
        <w:spacing w:after="150" w:line="240" w:lineRule="auto"/>
        <w:rPr>
          <w:rFonts w:ascii="Helvetica" w:eastAsia="Times New Roman" w:hAnsi="Helvetica" w:cs="Helvetica"/>
          <w:color w:val="333333"/>
          <w:sz w:val="21"/>
          <w:szCs w:val="21"/>
          <w:lang w:eastAsia="it-IT"/>
        </w:rPr>
      </w:pPr>
      <w:r w:rsidRPr="00004195">
        <w:rPr>
          <w:rFonts w:ascii="Helvetica" w:eastAsia="Times New Roman" w:hAnsi="Helvetica" w:cs="Helvetica"/>
          <w:color w:val="333333"/>
          <w:sz w:val="21"/>
          <w:szCs w:val="21"/>
          <w:lang w:eastAsia="it-IT"/>
        </w:rPr>
        <w:t>E' possibile effettuare una segnalazione di sospetta </w:t>
      </w:r>
      <w:r w:rsidRPr="00004195">
        <w:rPr>
          <w:rFonts w:ascii="Helvetica" w:eastAsia="Times New Roman" w:hAnsi="Helvetica" w:cs="Helvetica"/>
          <w:i/>
          <w:iCs/>
          <w:color w:val="333333"/>
          <w:sz w:val="21"/>
          <w:szCs w:val="21"/>
          <w:lang w:eastAsia="it-IT"/>
        </w:rPr>
        <w:t>reazione avversa</w:t>
      </w:r>
      <w:r w:rsidRPr="00004195">
        <w:rPr>
          <w:rFonts w:ascii="Helvetica" w:eastAsia="Times New Roman" w:hAnsi="Helvetica" w:cs="Helvetica"/>
          <w:color w:val="333333"/>
          <w:sz w:val="21"/>
          <w:szCs w:val="21"/>
          <w:lang w:eastAsia="it-IT"/>
        </w:rPr>
        <w:t> secondo una delle seguenti modalità:</w:t>
      </w:r>
    </w:p>
    <w:p w:rsidR="00004195" w:rsidRPr="00004195" w:rsidRDefault="00004195" w:rsidP="00004195">
      <w:pPr>
        <w:numPr>
          <w:ilvl w:val="0"/>
          <w:numId w:val="2"/>
        </w:numPr>
        <w:shd w:val="clear" w:color="auto" w:fill="FFFFFF"/>
        <w:spacing w:before="100" w:beforeAutospacing="1" w:after="100" w:afterAutospacing="1" w:line="240" w:lineRule="auto"/>
        <w:ind w:left="900"/>
        <w:rPr>
          <w:rFonts w:ascii="Helvetica" w:eastAsia="Times New Roman" w:hAnsi="Helvetica" w:cs="Helvetica"/>
          <w:color w:val="333333"/>
          <w:sz w:val="21"/>
          <w:szCs w:val="21"/>
          <w:lang w:eastAsia="it-IT"/>
        </w:rPr>
      </w:pPr>
      <w:proofErr w:type="gramStart"/>
      <w:r w:rsidRPr="00004195">
        <w:rPr>
          <w:rFonts w:ascii="Helvetica" w:eastAsia="Times New Roman" w:hAnsi="Helvetica" w:cs="Helvetica"/>
          <w:color w:val="333333"/>
          <w:sz w:val="21"/>
          <w:szCs w:val="21"/>
          <w:lang w:eastAsia="it-IT"/>
        </w:rPr>
        <w:t>compilando</w:t>
      </w:r>
      <w:proofErr w:type="gramEnd"/>
      <w:r w:rsidRPr="00004195">
        <w:rPr>
          <w:rFonts w:ascii="Helvetica" w:eastAsia="Times New Roman" w:hAnsi="Helvetica" w:cs="Helvetica"/>
          <w:color w:val="333333"/>
          <w:sz w:val="21"/>
          <w:szCs w:val="21"/>
          <w:lang w:eastAsia="it-IT"/>
        </w:rPr>
        <w:t xml:space="preserve"> la scheda di segnalazione di sospetta </w:t>
      </w:r>
      <w:r w:rsidRPr="00004195">
        <w:rPr>
          <w:rFonts w:ascii="Helvetica" w:eastAsia="Times New Roman" w:hAnsi="Helvetica" w:cs="Helvetica"/>
          <w:i/>
          <w:iCs/>
          <w:color w:val="333333"/>
          <w:sz w:val="21"/>
          <w:szCs w:val="21"/>
          <w:lang w:eastAsia="it-IT"/>
        </w:rPr>
        <w:t>reazione avversa</w:t>
      </w:r>
      <w:r w:rsidRPr="00004195">
        <w:rPr>
          <w:rFonts w:ascii="Helvetica" w:eastAsia="Times New Roman" w:hAnsi="Helvetica" w:cs="Helvetica"/>
          <w:color w:val="333333"/>
          <w:sz w:val="21"/>
          <w:szCs w:val="21"/>
          <w:lang w:eastAsia="it-IT"/>
        </w:rPr>
        <w:t> e inviandola al Responsabile di </w:t>
      </w:r>
      <w:r w:rsidRPr="00004195">
        <w:rPr>
          <w:rFonts w:ascii="Helvetica" w:eastAsia="Times New Roman" w:hAnsi="Helvetica" w:cs="Helvetica"/>
          <w:i/>
          <w:iCs/>
          <w:color w:val="333333"/>
          <w:sz w:val="21"/>
          <w:szCs w:val="21"/>
          <w:lang w:eastAsia="it-IT"/>
        </w:rPr>
        <w:t>farmacovigilanza</w:t>
      </w:r>
      <w:r w:rsidRPr="00004195">
        <w:rPr>
          <w:rFonts w:ascii="Helvetica" w:eastAsia="Times New Roman" w:hAnsi="Helvetica" w:cs="Helvetica"/>
          <w:color w:val="333333"/>
          <w:sz w:val="21"/>
          <w:szCs w:val="21"/>
          <w:lang w:eastAsia="it-IT"/>
        </w:rPr>
        <w:t> della propria struttura di appartenenza via e-mail o fax </w:t>
      </w:r>
    </w:p>
    <w:p w:rsidR="00004195" w:rsidRPr="00004195" w:rsidRDefault="00004195" w:rsidP="00004195">
      <w:pPr>
        <w:numPr>
          <w:ilvl w:val="0"/>
          <w:numId w:val="2"/>
        </w:numPr>
        <w:shd w:val="clear" w:color="auto" w:fill="FFFFFF"/>
        <w:spacing w:before="100" w:beforeAutospacing="1" w:after="100" w:afterAutospacing="1" w:line="240" w:lineRule="auto"/>
        <w:ind w:left="900"/>
        <w:rPr>
          <w:rFonts w:ascii="Helvetica" w:eastAsia="Times New Roman" w:hAnsi="Helvetica" w:cs="Helvetica"/>
          <w:color w:val="333333"/>
          <w:sz w:val="21"/>
          <w:szCs w:val="21"/>
          <w:lang w:eastAsia="it-IT"/>
        </w:rPr>
      </w:pPr>
      <w:proofErr w:type="gramStart"/>
      <w:r w:rsidRPr="00004195">
        <w:rPr>
          <w:rFonts w:ascii="Helvetica" w:eastAsia="Times New Roman" w:hAnsi="Helvetica" w:cs="Helvetica"/>
          <w:color w:val="333333"/>
          <w:sz w:val="21"/>
          <w:szCs w:val="21"/>
          <w:lang w:eastAsia="it-IT"/>
        </w:rPr>
        <w:t>o</w:t>
      </w:r>
      <w:proofErr w:type="gramEnd"/>
      <w:r w:rsidRPr="00004195">
        <w:rPr>
          <w:rFonts w:ascii="Helvetica" w:eastAsia="Times New Roman" w:hAnsi="Helvetica" w:cs="Helvetica"/>
          <w:color w:val="333333"/>
          <w:sz w:val="21"/>
          <w:szCs w:val="21"/>
          <w:lang w:eastAsia="it-IT"/>
        </w:rPr>
        <w:t xml:space="preserve"> direttamente online sul sito </w:t>
      </w:r>
      <w:proofErr w:type="spellStart"/>
      <w:r w:rsidRPr="00004195">
        <w:rPr>
          <w:rFonts w:ascii="Helvetica" w:eastAsia="Times New Roman" w:hAnsi="Helvetica" w:cs="Helvetica"/>
          <w:color w:val="333333"/>
          <w:sz w:val="21"/>
          <w:szCs w:val="21"/>
          <w:lang w:eastAsia="it-IT"/>
        </w:rPr>
        <w:t>VigiFarmaco</w:t>
      </w:r>
      <w:proofErr w:type="spellEnd"/>
      <w:r w:rsidRPr="00004195">
        <w:rPr>
          <w:rFonts w:ascii="Helvetica" w:eastAsia="Times New Roman" w:hAnsi="Helvetica" w:cs="Helvetica"/>
          <w:color w:val="333333"/>
          <w:sz w:val="21"/>
          <w:szCs w:val="21"/>
          <w:lang w:eastAsia="it-IT"/>
        </w:rPr>
        <w:t> seguendo la procedura guidata</w:t>
      </w:r>
    </w:p>
    <w:p w:rsidR="00004195" w:rsidRPr="00004195" w:rsidRDefault="00004195" w:rsidP="00004195">
      <w:pPr>
        <w:shd w:val="clear" w:color="auto" w:fill="FFFFFF"/>
        <w:spacing w:after="150" w:line="240" w:lineRule="auto"/>
        <w:rPr>
          <w:rFonts w:ascii="Helvetica" w:eastAsia="Times New Roman" w:hAnsi="Helvetica" w:cs="Helvetica"/>
          <w:color w:val="333333"/>
          <w:sz w:val="21"/>
          <w:szCs w:val="21"/>
          <w:lang w:eastAsia="it-IT"/>
        </w:rPr>
      </w:pPr>
      <w:r w:rsidRPr="00004195">
        <w:rPr>
          <w:rFonts w:ascii="Helvetica" w:eastAsia="Times New Roman" w:hAnsi="Helvetica" w:cs="Helvetica"/>
          <w:color w:val="333333"/>
          <w:sz w:val="21"/>
          <w:szCs w:val="21"/>
          <w:lang w:eastAsia="it-IT"/>
        </w:rPr>
        <w:t>Sarà cura del Responsabile di farmacovigilanza procedere alla registrazione e/o validazione delle segnalazioni nella Rete Nazionale di </w:t>
      </w:r>
      <w:r w:rsidRPr="00004195">
        <w:rPr>
          <w:rFonts w:ascii="Helvetica" w:eastAsia="Times New Roman" w:hAnsi="Helvetica" w:cs="Helvetica"/>
          <w:i/>
          <w:iCs/>
          <w:color w:val="333333"/>
          <w:sz w:val="21"/>
          <w:szCs w:val="21"/>
          <w:lang w:eastAsia="it-IT"/>
        </w:rPr>
        <w:t>farmacovigilanza</w:t>
      </w:r>
      <w:r w:rsidRPr="00004195">
        <w:rPr>
          <w:rFonts w:ascii="Helvetica" w:eastAsia="Times New Roman" w:hAnsi="Helvetica" w:cs="Helvetica"/>
          <w:color w:val="333333"/>
          <w:sz w:val="21"/>
          <w:szCs w:val="21"/>
          <w:lang w:eastAsia="it-IT"/>
        </w:rPr>
        <w:t> dell’AIFA connessa a </w:t>
      </w:r>
      <w:proofErr w:type="spellStart"/>
      <w:r w:rsidRPr="00004195">
        <w:rPr>
          <w:rFonts w:ascii="Helvetica" w:eastAsia="Times New Roman" w:hAnsi="Helvetica" w:cs="Helvetica"/>
          <w:color w:val="333333"/>
          <w:sz w:val="21"/>
          <w:szCs w:val="21"/>
          <w:lang w:eastAsia="it-IT"/>
        </w:rPr>
        <w:t>EudraVigilance</w:t>
      </w:r>
      <w:proofErr w:type="spellEnd"/>
      <w:r w:rsidRPr="00004195">
        <w:rPr>
          <w:rFonts w:ascii="Helvetica" w:eastAsia="Times New Roman" w:hAnsi="Helvetica" w:cs="Helvetica"/>
          <w:color w:val="333333"/>
          <w:sz w:val="21"/>
          <w:szCs w:val="21"/>
          <w:lang w:eastAsia="it-IT"/>
        </w:rPr>
        <w:t>, la banca dati europea di raccolta delle ADR gestita dall’Agenzia Europea dei Medicinali (EMA).</w:t>
      </w:r>
    </w:p>
    <w:p w:rsidR="00004195" w:rsidRPr="00004195" w:rsidRDefault="00004195" w:rsidP="00004195">
      <w:pPr>
        <w:shd w:val="clear" w:color="auto" w:fill="FFFFFF"/>
        <w:spacing w:after="150" w:line="240" w:lineRule="auto"/>
        <w:rPr>
          <w:rFonts w:ascii="Helvetica" w:eastAsia="Times New Roman" w:hAnsi="Helvetica" w:cs="Helvetica"/>
          <w:color w:val="333333"/>
          <w:sz w:val="21"/>
          <w:szCs w:val="21"/>
          <w:lang w:eastAsia="it-IT"/>
        </w:rPr>
      </w:pPr>
      <w:r w:rsidRPr="00004195">
        <w:rPr>
          <w:rFonts w:ascii="Helvetica" w:eastAsia="Times New Roman" w:hAnsi="Helvetica" w:cs="Helvetica"/>
          <w:color w:val="333333"/>
          <w:sz w:val="21"/>
          <w:szCs w:val="21"/>
          <w:lang w:eastAsia="it-IT"/>
        </w:rPr>
        <w:t>In alternativa la segnalazione di sospetta </w:t>
      </w:r>
      <w:r w:rsidRPr="00004195">
        <w:rPr>
          <w:rFonts w:ascii="Helvetica" w:eastAsia="Times New Roman" w:hAnsi="Helvetica" w:cs="Helvetica"/>
          <w:i/>
          <w:iCs/>
          <w:color w:val="333333"/>
          <w:sz w:val="21"/>
          <w:szCs w:val="21"/>
          <w:lang w:eastAsia="it-IT"/>
        </w:rPr>
        <w:t>reazione avversa</w:t>
      </w:r>
      <w:r w:rsidRPr="00004195">
        <w:rPr>
          <w:rFonts w:ascii="Helvetica" w:eastAsia="Times New Roman" w:hAnsi="Helvetica" w:cs="Helvetica"/>
          <w:color w:val="333333"/>
          <w:sz w:val="21"/>
          <w:szCs w:val="21"/>
          <w:lang w:eastAsia="it-IT"/>
        </w:rPr>
        <w:t> può essere comunicata al Titolare dell’Autorizzazione all’Immissione in Commercio (AIC) del medicinale che si sospetta abbia causato la </w:t>
      </w:r>
      <w:r w:rsidRPr="00004195">
        <w:rPr>
          <w:rFonts w:ascii="Helvetica" w:eastAsia="Times New Roman" w:hAnsi="Helvetica" w:cs="Helvetica"/>
          <w:i/>
          <w:iCs/>
          <w:color w:val="333333"/>
          <w:sz w:val="21"/>
          <w:szCs w:val="21"/>
          <w:lang w:eastAsia="it-IT"/>
        </w:rPr>
        <w:t>reazione avversa</w:t>
      </w:r>
      <w:r w:rsidRPr="00004195">
        <w:rPr>
          <w:rFonts w:ascii="Helvetica" w:eastAsia="Times New Roman" w:hAnsi="Helvetica" w:cs="Helvetica"/>
          <w:color w:val="333333"/>
          <w:sz w:val="21"/>
          <w:szCs w:val="21"/>
          <w:lang w:eastAsia="it-IT"/>
        </w:rPr>
        <w:t>.</w:t>
      </w:r>
    </w:p>
    <w:p w:rsidR="00004195" w:rsidRPr="00004195" w:rsidRDefault="00004195" w:rsidP="00004195">
      <w:pPr>
        <w:shd w:val="clear" w:color="auto" w:fill="FFFFFF"/>
        <w:spacing w:after="150" w:line="240" w:lineRule="auto"/>
        <w:rPr>
          <w:rFonts w:ascii="Helvetica" w:eastAsia="Times New Roman" w:hAnsi="Helvetica" w:cs="Helvetica"/>
          <w:color w:val="333333"/>
          <w:sz w:val="21"/>
          <w:szCs w:val="21"/>
          <w:lang w:eastAsia="it-IT"/>
        </w:rPr>
      </w:pPr>
      <w:r w:rsidRPr="00004195">
        <w:rPr>
          <w:rFonts w:ascii="Helvetica" w:eastAsia="Times New Roman" w:hAnsi="Helvetica" w:cs="Helvetica"/>
          <w:color w:val="333333"/>
          <w:sz w:val="21"/>
          <w:szCs w:val="21"/>
          <w:lang w:eastAsia="it-IT"/>
        </w:rPr>
        <w:t>Le schede di segnalazione per Operatore Sanitario e Cittadino sono disponibili nella sezione Modulistica.</w:t>
      </w:r>
    </w:p>
    <w:p w:rsidR="00004195" w:rsidRPr="00004195" w:rsidRDefault="00004195" w:rsidP="00004195">
      <w:pPr>
        <w:shd w:val="clear" w:color="auto" w:fill="FFFFFF"/>
        <w:spacing w:after="150" w:line="240" w:lineRule="auto"/>
        <w:rPr>
          <w:rFonts w:ascii="Helvetica" w:eastAsia="Times New Roman" w:hAnsi="Helvetica" w:cs="Helvetica"/>
          <w:color w:val="333333"/>
          <w:sz w:val="21"/>
          <w:szCs w:val="21"/>
          <w:lang w:eastAsia="it-IT"/>
        </w:rPr>
      </w:pPr>
      <w:r w:rsidRPr="00004195">
        <w:rPr>
          <w:rFonts w:ascii="Helvetica" w:eastAsia="Times New Roman" w:hAnsi="Helvetica" w:cs="Helvetica"/>
          <w:color w:val="333333"/>
          <w:sz w:val="21"/>
          <w:szCs w:val="21"/>
          <w:lang w:eastAsia="it-IT"/>
        </w:rPr>
        <w:t>La sospetta </w:t>
      </w:r>
      <w:r w:rsidRPr="00004195">
        <w:rPr>
          <w:rFonts w:ascii="Helvetica" w:eastAsia="Times New Roman" w:hAnsi="Helvetica" w:cs="Helvetica"/>
          <w:i/>
          <w:iCs/>
          <w:color w:val="333333"/>
          <w:sz w:val="21"/>
          <w:szCs w:val="21"/>
          <w:lang w:eastAsia="it-IT"/>
        </w:rPr>
        <w:t>reazione avversa</w:t>
      </w:r>
      <w:r w:rsidRPr="00004195">
        <w:rPr>
          <w:rFonts w:ascii="Helvetica" w:eastAsia="Times New Roman" w:hAnsi="Helvetica" w:cs="Helvetica"/>
          <w:color w:val="333333"/>
          <w:sz w:val="21"/>
          <w:szCs w:val="21"/>
          <w:lang w:eastAsia="it-IT"/>
        </w:rPr>
        <w:t> può essere segnalata anche a seguito di assunzione di prodotti a base di piante officinali e integratori alimentari e di dispositivi medici. Di seguito si rimanda ai siti delle Istituzioni competenti e alle relative schede:</w:t>
      </w:r>
    </w:p>
    <w:p w:rsidR="00004195" w:rsidRPr="00004195" w:rsidRDefault="00004195" w:rsidP="00004195">
      <w:pPr>
        <w:numPr>
          <w:ilvl w:val="0"/>
          <w:numId w:val="3"/>
        </w:numPr>
        <w:shd w:val="clear" w:color="auto" w:fill="FFFFFF"/>
        <w:spacing w:before="100" w:beforeAutospacing="1" w:after="100" w:afterAutospacing="1" w:line="240" w:lineRule="auto"/>
        <w:ind w:left="900"/>
        <w:rPr>
          <w:rFonts w:ascii="Helvetica" w:eastAsia="Times New Roman" w:hAnsi="Helvetica" w:cs="Helvetica"/>
          <w:color w:val="333333"/>
          <w:sz w:val="21"/>
          <w:szCs w:val="21"/>
          <w:lang w:eastAsia="it-IT"/>
        </w:rPr>
      </w:pPr>
      <w:r w:rsidRPr="00004195">
        <w:rPr>
          <w:rFonts w:ascii="Helvetica" w:eastAsia="Times New Roman" w:hAnsi="Helvetica" w:cs="Helvetica"/>
          <w:color w:val="333333"/>
          <w:sz w:val="21"/>
          <w:szCs w:val="21"/>
          <w:lang w:eastAsia="it-IT"/>
        </w:rPr>
        <w:t>Segnalazione di sospette reazioni avverse da prodotti a base di piante officinali e integratori alimentari</w:t>
      </w:r>
    </w:p>
    <w:p w:rsidR="00004195" w:rsidRPr="00004195" w:rsidRDefault="00004195" w:rsidP="00004195">
      <w:pPr>
        <w:numPr>
          <w:ilvl w:val="0"/>
          <w:numId w:val="3"/>
        </w:numPr>
        <w:shd w:val="clear" w:color="auto" w:fill="FFFFFF"/>
        <w:spacing w:before="100" w:beforeAutospacing="1" w:after="100" w:afterAutospacing="1" w:line="240" w:lineRule="auto"/>
        <w:ind w:left="900"/>
        <w:rPr>
          <w:rFonts w:ascii="Helvetica" w:eastAsia="Times New Roman" w:hAnsi="Helvetica" w:cs="Helvetica"/>
          <w:color w:val="333333"/>
          <w:sz w:val="21"/>
          <w:szCs w:val="21"/>
          <w:lang w:eastAsia="it-IT"/>
        </w:rPr>
      </w:pPr>
      <w:proofErr w:type="gramStart"/>
      <w:r w:rsidRPr="00004195">
        <w:rPr>
          <w:rFonts w:ascii="Helvetica" w:eastAsia="Times New Roman" w:hAnsi="Helvetica" w:cs="Helvetica"/>
          <w:color w:val="333333"/>
          <w:sz w:val="21"/>
          <w:szCs w:val="21"/>
          <w:lang w:eastAsia="it-IT"/>
        </w:rPr>
        <w:t>per  segnalare</w:t>
      </w:r>
      <w:proofErr w:type="gramEnd"/>
      <w:r w:rsidRPr="00004195">
        <w:rPr>
          <w:rFonts w:ascii="Helvetica" w:eastAsia="Times New Roman" w:hAnsi="Helvetica" w:cs="Helvetica"/>
          <w:color w:val="333333"/>
          <w:sz w:val="21"/>
          <w:szCs w:val="21"/>
          <w:lang w:eastAsia="it-IT"/>
        </w:rPr>
        <w:t xml:space="preserve"> on line collegarsi al sito </w:t>
      </w:r>
      <w:proofErr w:type="spellStart"/>
      <w:r w:rsidRPr="00004195">
        <w:rPr>
          <w:rFonts w:ascii="Helvetica" w:eastAsia="Times New Roman" w:hAnsi="Helvetica" w:cs="Helvetica"/>
          <w:color w:val="333333"/>
          <w:sz w:val="21"/>
          <w:szCs w:val="21"/>
          <w:lang w:eastAsia="it-IT"/>
        </w:rPr>
        <w:t>vigierbe</w:t>
      </w:r>
      <w:proofErr w:type="spellEnd"/>
    </w:p>
    <w:p w:rsidR="00004195" w:rsidRPr="00004195" w:rsidRDefault="00004195" w:rsidP="00004195">
      <w:pPr>
        <w:numPr>
          <w:ilvl w:val="0"/>
          <w:numId w:val="3"/>
        </w:numPr>
        <w:shd w:val="clear" w:color="auto" w:fill="FFFFFF"/>
        <w:spacing w:before="100" w:beforeAutospacing="1" w:after="100" w:afterAutospacing="1" w:line="240" w:lineRule="auto"/>
        <w:ind w:left="900"/>
        <w:rPr>
          <w:rFonts w:ascii="Helvetica" w:eastAsia="Times New Roman" w:hAnsi="Helvetica" w:cs="Helvetica"/>
          <w:color w:val="333333"/>
          <w:sz w:val="21"/>
          <w:szCs w:val="21"/>
          <w:lang w:eastAsia="it-IT"/>
        </w:rPr>
      </w:pPr>
      <w:r w:rsidRPr="00004195">
        <w:rPr>
          <w:rFonts w:ascii="Helvetica" w:eastAsia="Times New Roman" w:hAnsi="Helvetica" w:cs="Helvetica"/>
          <w:color w:val="333333"/>
          <w:sz w:val="21"/>
          <w:szCs w:val="21"/>
          <w:lang w:eastAsia="it-IT"/>
        </w:rPr>
        <w:t>Segnalazione di sospette reazioni avverse da dispositivi medici</w:t>
      </w:r>
    </w:p>
    <w:p w:rsidR="00004195" w:rsidRPr="00004195" w:rsidRDefault="00004195" w:rsidP="00004195">
      <w:pPr>
        <w:shd w:val="clear" w:color="auto" w:fill="FFFFFF"/>
        <w:spacing w:after="150" w:line="240" w:lineRule="auto"/>
        <w:rPr>
          <w:rFonts w:ascii="Helvetica" w:eastAsia="Times New Roman" w:hAnsi="Helvetica" w:cs="Helvetica"/>
          <w:color w:val="333333"/>
          <w:sz w:val="21"/>
          <w:szCs w:val="21"/>
          <w:lang w:eastAsia="it-IT"/>
        </w:rPr>
      </w:pPr>
      <w:r w:rsidRPr="00004195">
        <w:rPr>
          <w:rFonts w:ascii="Helvetica" w:eastAsia="Times New Roman" w:hAnsi="Helvetica" w:cs="Helvetica"/>
          <w:b/>
          <w:bCs/>
          <w:color w:val="333333"/>
          <w:sz w:val="21"/>
          <w:szCs w:val="21"/>
          <w:lang w:eastAsia="it-IT"/>
        </w:rPr>
        <w:t>FAQ per la gestione delle segnalazioni</w:t>
      </w:r>
    </w:p>
    <w:p w:rsidR="00004195" w:rsidRPr="00004195" w:rsidRDefault="00004195" w:rsidP="00004195">
      <w:pPr>
        <w:shd w:val="clear" w:color="auto" w:fill="FFFFFF"/>
        <w:spacing w:after="150" w:line="240" w:lineRule="auto"/>
        <w:rPr>
          <w:rFonts w:ascii="Helvetica" w:eastAsia="Times New Roman" w:hAnsi="Helvetica" w:cs="Helvetica"/>
          <w:color w:val="333333"/>
          <w:sz w:val="21"/>
          <w:szCs w:val="21"/>
          <w:lang w:eastAsia="it-IT"/>
        </w:rPr>
      </w:pPr>
      <w:r w:rsidRPr="00004195">
        <w:rPr>
          <w:rFonts w:ascii="Helvetica" w:eastAsia="Times New Roman" w:hAnsi="Helvetica" w:cs="Helvetica"/>
          <w:color w:val="333333"/>
          <w:sz w:val="21"/>
          <w:szCs w:val="21"/>
          <w:lang w:eastAsia="it-IT"/>
        </w:rPr>
        <w:t>Eventuali ulteriori informazioni sulla gestione delle segnalazioni di sospette reazioni avverse sono disponibili nel documento "FAQ per la gestione delle segnalazioni nell’ambito della Rete Nazionale di Farmacovigilanza”, disponibile nella sezione Modulistica.</w:t>
      </w:r>
    </w:p>
    <w:p w:rsidR="00004195" w:rsidRPr="00004195" w:rsidRDefault="00004195" w:rsidP="00004195">
      <w:pPr>
        <w:shd w:val="clear" w:color="auto" w:fill="FFFFFF"/>
        <w:spacing w:after="150" w:line="240" w:lineRule="auto"/>
        <w:rPr>
          <w:rFonts w:ascii="Helvetica" w:eastAsia="Times New Roman" w:hAnsi="Helvetica" w:cs="Helvetica"/>
          <w:color w:val="333333"/>
          <w:sz w:val="21"/>
          <w:szCs w:val="21"/>
          <w:lang w:eastAsia="it-IT"/>
        </w:rPr>
      </w:pPr>
      <w:r w:rsidRPr="00004195">
        <w:rPr>
          <w:rFonts w:ascii="Helvetica" w:eastAsia="Times New Roman" w:hAnsi="Helvetica" w:cs="Helvetica"/>
          <w:color w:val="333333"/>
          <w:sz w:val="21"/>
          <w:szCs w:val="21"/>
          <w:lang w:eastAsia="it-IT"/>
        </w:rPr>
        <w:t>Guarda inoltre il video della campagna di sensibilizzazione europea sulla segnalazione delle sospette reazioni avverse</w:t>
      </w:r>
    </w:p>
    <w:p w:rsidR="004140AC" w:rsidRDefault="004140AC">
      <w:bookmarkStart w:id="0" w:name="_GoBack"/>
      <w:bookmarkEnd w:id="0"/>
    </w:p>
    <w:sectPr w:rsidR="004140A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C49EC"/>
    <w:multiLevelType w:val="multilevel"/>
    <w:tmpl w:val="2F3EE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6724CD"/>
    <w:multiLevelType w:val="multilevel"/>
    <w:tmpl w:val="2CCE4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C23AB6"/>
    <w:multiLevelType w:val="multilevel"/>
    <w:tmpl w:val="2534C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195"/>
    <w:rsid w:val="00004195"/>
    <w:rsid w:val="004140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592B84-0911-4D85-AD93-C538811E7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312523">
      <w:bodyDiv w:val="1"/>
      <w:marLeft w:val="0"/>
      <w:marRight w:val="0"/>
      <w:marTop w:val="0"/>
      <w:marBottom w:val="0"/>
      <w:divBdr>
        <w:top w:val="none" w:sz="0" w:space="0" w:color="auto"/>
        <w:left w:val="none" w:sz="0" w:space="0" w:color="auto"/>
        <w:bottom w:val="none" w:sz="0" w:space="0" w:color="auto"/>
        <w:right w:val="none" w:sz="0" w:space="0" w:color="auto"/>
      </w:divBdr>
      <w:divsChild>
        <w:div w:id="505945068">
          <w:marLeft w:val="0"/>
          <w:marRight w:val="0"/>
          <w:marTop w:val="0"/>
          <w:marBottom w:val="0"/>
          <w:divBdr>
            <w:top w:val="none" w:sz="0" w:space="0" w:color="auto"/>
            <w:left w:val="none" w:sz="0" w:space="0" w:color="auto"/>
            <w:bottom w:val="none" w:sz="0" w:space="0" w:color="auto"/>
            <w:right w:val="none" w:sz="0" w:space="0" w:color="auto"/>
          </w:divBdr>
          <w:divsChild>
            <w:div w:id="1128207138">
              <w:marLeft w:val="0"/>
              <w:marRight w:val="0"/>
              <w:marTop w:val="0"/>
              <w:marBottom w:val="0"/>
              <w:divBdr>
                <w:top w:val="none" w:sz="0" w:space="0" w:color="auto"/>
                <w:left w:val="none" w:sz="0" w:space="0" w:color="auto"/>
                <w:bottom w:val="none" w:sz="0" w:space="0" w:color="auto"/>
                <w:right w:val="none" w:sz="0" w:space="0" w:color="auto"/>
              </w:divBdr>
              <w:divsChild>
                <w:div w:id="2130515491">
                  <w:marLeft w:val="0"/>
                  <w:marRight w:val="0"/>
                  <w:marTop w:val="0"/>
                  <w:marBottom w:val="0"/>
                  <w:divBdr>
                    <w:top w:val="none" w:sz="0" w:space="0" w:color="auto"/>
                    <w:left w:val="none" w:sz="0" w:space="0" w:color="auto"/>
                    <w:bottom w:val="none" w:sz="0" w:space="0" w:color="auto"/>
                    <w:right w:val="none" w:sz="0" w:space="0" w:color="auto"/>
                  </w:divBdr>
                  <w:divsChild>
                    <w:div w:id="159242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448</Words>
  <Characters>2558</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2019-09-26T16:19:00Z</dcterms:created>
  <dcterms:modified xsi:type="dcterms:W3CDTF">2019-09-26T16:24:00Z</dcterms:modified>
</cp:coreProperties>
</file>